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091F3336" w:rsidR="000D2D16"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color w:val="000000" w:themeColor="text1"/>
        </w:rPr>
        <w:t>T</w:t>
      </w:r>
      <w:r w:rsidR="00AA1EEC">
        <w:rPr>
          <w:rFonts w:asciiTheme="majorHAnsi" w:hAnsiTheme="majorHAnsi" w:cstheme="majorHAnsi"/>
          <w:b/>
          <w:color w:val="000000" w:themeColor="text1"/>
        </w:rPr>
        <w:t>ender</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6F4BFA">
        <w:rPr>
          <w:rFonts w:asciiTheme="majorHAnsi" w:hAnsiTheme="majorHAnsi" w:cstheme="majorHAnsi"/>
          <w:color w:val="000000" w:themeColor="text1"/>
          <w:szCs w:val="22"/>
        </w:rPr>
        <w:t>81321664</w:t>
      </w:r>
    </w:p>
    <w:p w14:paraId="577E865F" w14:textId="71D28FF5" w:rsidR="00FE6090" w:rsidRPr="000777F7" w:rsidRDefault="000D2D16" w:rsidP="005E484E">
      <w:pPr>
        <w:spacing w:before="120"/>
        <w:ind w:left="3119" w:hanging="3119"/>
        <w:jc w:val="both"/>
        <w:rPr>
          <w:rFonts w:asciiTheme="majorHAnsi" w:hAnsiTheme="majorHAnsi" w:cstheme="majorHAnsi"/>
        </w:rPr>
      </w:pPr>
      <w:r w:rsidRPr="000777F7">
        <w:rPr>
          <w:rFonts w:asciiTheme="majorHAnsi" w:hAnsiTheme="majorHAnsi" w:cstheme="majorHAnsi"/>
          <w:b/>
        </w:rPr>
        <w:t>Project p</w:t>
      </w:r>
      <w:r w:rsidR="00FE6090" w:rsidRPr="000777F7">
        <w:rPr>
          <w:rFonts w:asciiTheme="majorHAnsi" w:hAnsiTheme="majorHAnsi" w:cstheme="majorHAnsi"/>
          <w:b/>
          <w:color w:val="000000" w:themeColor="text1"/>
        </w:rPr>
        <w:t>rocessing number:</w:t>
      </w:r>
      <w:r w:rsidR="00FE6090" w:rsidRPr="000777F7">
        <w:rPr>
          <w:rFonts w:asciiTheme="majorHAnsi" w:hAnsiTheme="majorHAnsi" w:cstheme="majorHAnsi"/>
        </w:rPr>
        <w:tab/>
      </w:r>
      <w:r w:rsidR="0080153D" w:rsidRPr="0080153D">
        <w:rPr>
          <w:rFonts w:asciiTheme="majorHAnsi" w:hAnsiTheme="majorHAnsi" w:cstheme="majorHAnsi"/>
          <w:color w:val="000000" w:themeColor="text1"/>
          <w:szCs w:val="22"/>
        </w:rPr>
        <w:t>21.2107.7-006.00</w:t>
      </w:r>
      <w:r w:rsidR="0080153D">
        <w:rPr>
          <w:rFonts w:asciiTheme="majorHAnsi" w:hAnsiTheme="majorHAnsi" w:cstheme="majorHAnsi"/>
          <w:color w:val="000000" w:themeColor="text1"/>
          <w:szCs w:val="22"/>
        </w:rPr>
        <w:t xml:space="preserve"> </w:t>
      </w:r>
    </w:p>
    <w:p w14:paraId="2BF5DB0E" w14:textId="54670C17" w:rsidR="007D416C" w:rsidRPr="005E484E" w:rsidRDefault="00051C86" w:rsidP="005E484E">
      <w:pPr>
        <w:spacing w:before="120"/>
        <w:ind w:left="3119" w:hanging="3119"/>
        <w:jc w:val="both"/>
        <w:rPr>
          <w:rFonts w:asciiTheme="majorHAnsi" w:hAnsiTheme="majorHAnsi" w:cstheme="majorHAnsi"/>
          <w:bCs/>
          <w:color w:val="000000" w:themeColor="text1"/>
          <w:szCs w:val="22"/>
          <w:lang w:val="en-US"/>
        </w:rPr>
      </w:pPr>
      <w:r w:rsidRPr="000777F7">
        <w:rPr>
          <w:rFonts w:asciiTheme="majorHAnsi" w:hAnsiTheme="majorHAnsi" w:cstheme="majorHAnsi"/>
          <w:b/>
          <w:color w:val="000000" w:themeColor="text1"/>
        </w:rPr>
        <w:t>P</w:t>
      </w:r>
      <w:r w:rsidR="007D416C" w:rsidRPr="000777F7">
        <w:rPr>
          <w:rFonts w:asciiTheme="majorHAnsi" w:hAnsiTheme="majorHAnsi" w:cstheme="majorHAnsi"/>
          <w:b/>
          <w:color w:val="000000" w:themeColor="text1"/>
        </w:rPr>
        <w:t>roject title:</w:t>
      </w:r>
      <w:r w:rsidR="007D416C" w:rsidRPr="000777F7">
        <w:rPr>
          <w:rFonts w:asciiTheme="majorHAnsi" w:hAnsiTheme="majorHAnsi" w:cstheme="majorHAnsi"/>
        </w:rPr>
        <w:tab/>
      </w:r>
      <w:r w:rsidR="005E484E" w:rsidRPr="005E484E">
        <w:rPr>
          <w:rFonts w:asciiTheme="majorHAnsi" w:hAnsiTheme="majorHAnsi" w:cstheme="majorHAnsi"/>
          <w:color w:val="000000" w:themeColor="text1"/>
          <w:szCs w:val="22"/>
        </w:rPr>
        <w:t>Annual Impact Surveys for the “Community-driven Rural Development” (CDRD) and “Improved Living Conditions and Psychosocial Support in the Context of Forced Displacement” (</w:t>
      </w:r>
      <w:proofErr w:type="spellStart"/>
      <w:r w:rsidR="005E484E" w:rsidRPr="005E484E">
        <w:rPr>
          <w:rFonts w:asciiTheme="majorHAnsi" w:hAnsiTheme="majorHAnsi" w:cstheme="majorHAnsi"/>
          <w:color w:val="000000" w:themeColor="text1"/>
          <w:szCs w:val="22"/>
        </w:rPr>
        <w:t>ILiPS</w:t>
      </w:r>
      <w:proofErr w:type="spellEnd"/>
      <w:r w:rsidR="005E484E" w:rsidRPr="005E484E">
        <w:rPr>
          <w:rFonts w:asciiTheme="majorHAnsi" w:hAnsiTheme="majorHAnsi" w:cstheme="majorHAnsi"/>
          <w:color w:val="000000" w:themeColor="text1"/>
          <w:szCs w:val="22"/>
        </w:rPr>
        <w:t>) projects</w:t>
      </w:r>
    </w:p>
    <w:p w14:paraId="16D60C7E" w14:textId="62FED340" w:rsidR="00F96F43" w:rsidRPr="000777F7" w:rsidRDefault="00F96F43" w:rsidP="005E484E">
      <w:pPr>
        <w:spacing w:before="120"/>
        <w:ind w:left="3119" w:hanging="3119"/>
        <w:jc w:val="both"/>
        <w:rPr>
          <w:rFonts w:asciiTheme="majorHAnsi" w:hAnsiTheme="majorHAnsi" w:cstheme="majorHAnsi"/>
          <w:bCs/>
          <w:color w:val="000000" w:themeColor="text1"/>
        </w:rPr>
      </w:pPr>
      <w:r w:rsidRPr="000777F7">
        <w:rPr>
          <w:rFonts w:asciiTheme="majorHAnsi" w:hAnsiTheme="majorHAnsi" w:cstheme="majorHAnsi"/>
          <w:b/>
          <w:color w:val="000000" w:themeColor="text1"/>
        </w:rPr>
        <w:t>Works/services tendered:</w:t>
      </w:r>
      <w:r w:rsidRPr="000777F7">
        <w:rPr>
          <w:rFonts w:asciiTheme="majorHAnsi" w:hAnsiTheme="majorHAnsi" w:cstheme="majorHAnsi"/>
        </w:rPr>
        <w:tab/>
      </w:r>
      <w:r w:rsidR="00006260" w:rsidRPr="001C0F4A">
        <w:rPr>
          <w:rFonts w:cs="Arial"/>
          <w:szCs w:val="22"/>
          <w:lang w:val="en-US"/>
        </w:rPr>
        <w:t>Annual Impact Surveys of target groups</w:t>
      </w:r>
    </w:p>
    <w:p w14:paraId="11E17B2F" w14:textId="110E083A" w:rsidR="00051C86" w:rsidRPr="000777F7" w:rsidRDefault="007D416C" w:rsidP="009E48BE">
      <w:pPr>
        <w:spacing w:before="120"/>
        <w:ind w:left="3119" w:hanging="3119"/>
        <w:rPr>
          <w:rFonts w:asciiTheme="majorHAnsi" w:hAnsiTheme="majorHAnsi" w:cstheme="majorHAnsi"/>
          <w:bCs/>
          <w:color w:val="000000" w:themeColor="text1"/>
        </w:rPr>
      </w:pPr>
      <w:r w:rsidRPr="000777F7">
        <w:rPr>
          <w:rFonts w:asciiTheme="majorHAnsi" w:hAnsiTheme="majorHAnsi" w:cstheme="majorHAnsi"/>
          <w:b/>
          <w:color w:val="000000" w:themeColor="text1"/>
        </w:rPr>
        <w:t>Country:</w:t>
      </w:r>
      <w:r w:rsidR="00595711" w:rsidRPr="000777F7">
        <w:rPr>
          <w:rFonts w:asciiTheme="majorHAnsi" w:hAnsiTheme="majorHAnsi" w:cstheme="majorHAnsi"/>
          <w:b/>
          <w:color w:val="000000" w:themeColor="text1"/>
        </w:rPr>
        <w:tab/>
      </w:r>
      <w:r w:rsidR="00CE144E">
        <w:rPr>
          <w:rFonts w:cs="Arial"/>
          <w:szCs w:val="22"/>
        </w:rPr>
        <w:t>South Sudan</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w:t>
      </w:r>
      <w:proofErr w:type="spellStart"/>
      <w:r w:rsidRPr="00CA1CAF">
        <w:rPr>
          <w:rFonts w:cs="Arial"/>
          <w:bCs/>
          <w:i/>
          <w:sz w:val="18"/>
          <w:szCs w:val="18"/>
          <w:lang w:eastAsia="de-DE"/>
        </w:rPr>
        <w:t>Geldwäschegesetz</w:t>
      </w:r>
      <w:proofErr w:type="spellEnd"/>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proofErr w:type="spellStart"/>
            <w:r w:rsidRPr="00CA1CAF">
              <w:rPr>
                <w:rFonts w:cs="Arial"/>
                <w:b/>
                <w:bCs/>
                <w:lang w:val="de-DE"/>
              </w:rPr>
              <w:t>Please</w:t>
            </w:r>
            <w:proofErr w:type="spellEnd"/>
            <w:r w:rsidRPr="00CA1CAF">
              <w:rPr>
                <w:rFonts w:cs="Arial"/>
                <w:b/>
                <w:bCs/>
                <w:lang w:val="de-DE"/>
              </w:rPr>
              <w:t xml:space="preserv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5FAB5BDA" w:rsidR="000F5026" w:rsidRPr="00BD66B9" w:rsidRDefault="000F5026" w:rsidP="00DD1443">
      <w:pPr>
        <w:pStyle w:val="Textkrper"/>
        <w:spacing w:after="200" w:line="288" w:lineRule="auto"/>
        <w:jc w:val="both"/>
        <w:rPr>
          <w:b w:val="0"/>
          <w:i/>
          <w:iCs/>
          <w:szCs w:val="22"/>
        </w:rPr>
      </w:pPr>
      <w:r w:rsidRPr="00BD66B9">
        <w:rPr>
          <w:bCs w:val="0"/>
          <w:i/>
          <w:iCs/>
          <w:szCs w:val="22"/>
        </w:rPr>
        <w:t xml:space="preserve">At least </w:t>
      </w:r>
      <w:r w:rsidR="00824551">
        <w:rPr>
          <w:i/>
          <w:iCs/>
        </w:rPr>
        <w:t>3</w:t>
      </w:r>
      <w:r w:rsidRPr="003B6278">
        <w:rPr>
          <w:b w:val="0"/>
          <w:i/>
          <w:iCs/>
          <w:szCs w:val="22"/>
        </w:rPr>
        <w:t xml:space="preserve"> </w:t>
      </w:r>
      <w:r w:rsidRPr="00BD2494">
        <w:rPr>
          <w:b w:val="0"/>
          <w:i/>
          <w:iCs/>
          <w:szCs w:val="22"/>
        </w:rPr>
        <w:t xml:space="preserve">references </w:t>
      </w:r>
      <w:r w:rsidRPr="00BD66B9">
        <w:rPr>
          <w:bCs w:val="0"/>
          <w:i/>
          <w:iCs/>
          <w:szCs w:val="22"/>
        </w:rPr>
        <w:t xml:space="preserve">in the technical field </w:t>
      </w:r>
      <w:r>
        <w:rPr>
          <w:bCs w:val="0"/>
          <w:i/>
          <w:iCs/>
          <w:szCs w:val="22"/>
        </w:rPr>
        <w:t xml:space="preserve">of </w:t>
      </w:r>
      <w:r w:rsidR="008876CF" w:rsidRPr="008876CF">
        <w:rPr>
          <w:i/>
          <w:iCs/>
        </w:rPr>
        <w:t>Surveys: Data Collection, Analysis and Reporting</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8876CF" w:rsidRPr="008876CF">
        <w:rPr>
          <w:i/>
          <w:iCs/>
        </w:rPr>
        <w:t>45000</w:t>
      </w:r>
      <w:r w:rsidR="007F6BDF">
        <w:rPr>
          <w:i/>
          <w:iCs/>
        </w:rPr>
        <w:t xml:space="preserve"> (net)</w:t>
      </w:r>
      <w:r w:rsidRPr="003B6278">
        <w:rPr>
          <w:b w:val="0"/>
          <w:i/>
          <w:iCs/>
          <w:szCs w:val="22"/>
        </w:rPr>
        <w:t xml:space="preserve"> </w:t>
      </w:r>
      <w:r w:rsidRPr="00BD2494">
        <w:rPr>
          <w:b w:val="0"/>
          <w:i/>
          <w:iCs/>
          <w:szCs w:val="22"/>
        </w:rPr>
        <w:t>(exclusion criterion).</w:t>
      </w:r>
    </w:p>
    <w:p w14:paraId="16F90C4C" w14:textId="4FB0428C" w:rsidR="000F5026" w:rsidRPr="00F83E87" w:rsidRDefault="000F5026" w:rsidP="00DD1443">
      <w:pPr>
        <w:spacing w:before="40" w:after="200" w:line="288" w:lineRule="auto"/>
        <w:ind w:right="57"/>
        <w:jc w:val="both"/>
        <w:rPr>
          <w:rFonts w:cs="Arial"/>
          <w:bCs/>
          <w:i/>
        </w:rPr>
      </w:pPr>
      <w:r w:rsidRPr="00BD66B9">
        <w:rPr>
          <w:rFonts w:cs="Arial"/>
          <w:bCs/>
          <w:i/>
          <w:iCs/>
        </w:rPr>
        <w:t xml:space="preserve">At least </w:t>
      </w:r>
      <w:r w:rsidR="00824551" w:rsidRPr="00824551">
        <w:rPr>
          <w:b/>
          <w:bCs/>
          <w:i/>
          <w:iCs/>
        </w:rPr>
        <w:t>3</w:t>
      </w:r>
      <w:r w:rsidRPr="00BD66B9">
        <w:rPr>
          <w:rFonts w:cs="Arial"/>
          <w:bCs/>
          <w:i/>
          <w:iCs/>
        </w:rPr>
        <w:t xml:space="preserve"> </w:t>
      </w:r>
      <w:r w:rsidRPr="003B6278">
        <w:rPr>
          <w:rFonts w:cs="Arial"/>
          <w:b/>
          <w:i/>
          <w:iCs/>
        </w:rPr>
        <w:t>references</w:t>
      </w:r>
      <w:r w:rsidRPr="00BD66B9">
        <w:rPr>
          <w:rFonts w:cs="Arial"/>
          <w:bCs/>
          <w:i/>
          <w:iCs/>
        </w:rPr>
        <w:t xml:space="preserve"> in the region of </w:t>
      </w:r>
      <w:r w:rsidR="008876CF" w:rsidRPr="008876CF">
        <w:rPr>
          <w:b/>
          <w:bCs/>
          <w:i/>
          <w:iCs/>
        </w:rPr>
        <w:t>Eastern Africa</w:t>
      </w:r>
      <w:r w:rsidRPr="00BD66B9">
        <w:rPr>
          <w:rFonts w:cs="Arial"/>
          <w:bCs/>
          <w:i/>
          <w:iCs/>
        </w:rPr>
        <w:t xml:space="preserve"> </w:t>
      </w:r>
      <w:r w:rsidRPr="00DD1443">
        <w:rPr>
          <w:rFonts w:cs="Arial"/>
          <w:bCs/>
          <w:i/>
          <w:iCs/>
        </w:rPr>
        <w:t>in the last 3</w:t>
      </w:r>
      <w:r w:rsidR="00C22B02">
        <w:rPr>
          <w:rFonts w:cs="Arial"/>
          <w:bCs/>
          <w:i/>
          <w:iCs/>
        </w:rPr>
        <w:t>6</w:t>
      </w:r>
      <w:r w:rsidR="00C22B02">
        <w:t> months</w:t>
      </w:r>
      <w:r w:rsidRPr="00BD66B9">
        <w:rPr>
          <w:rFonts w:cs="Arial"/>
          <w:bCs/>
          <w:i/>
          <w:iCs/>
        </w:rPr>
        <w:t xml:space="preserve"> </w:t>
      </w:r>
      <w:r w:rsidR="009E6BDC">
        <w:rPr>
          <w:rFonts w:cs="Arial"/>
          <w:bCs/>
          <w:i/>
          <w:iCs/>
        </w:rPr>
        <w:t xml:space="preserve">(reference date: date of publication of this tender) </w:t>
      </w:r>
      <w:r w:rsidRPr="00BD66B9">
        <w:rPr>
          <w:rFonts w:cs="Arial"/>
          <w:bCs/>
          <w:i/>
          <w:iCs/>
        </w:rPr>
        <w:t>that ha</w:t>
      </w:r>
      <w:r>
        <w:rPr>
          <w:rFonts w:cs="Arial"/>
          <w:bCs/>
          <w:i/>
          <w:iCs/>
        </w:rPr>
        <w:t>d</w:t>
      </w:r>
      <w:r w:rsidRPr="00BD66B9">
        <w:rPr>
          <w:rFonts w:cs="Arial"/>
          <w:bCs/>
          <w:i/>
          <w:iCs/>
        </w:rPr>
        <w:t xml:space="preserve"> a </w:t>
      </w:r>
      <w:r w:rsidRPr="00BD2494">
        <w:rPr>
          <w:rFonts w:cs="Arial"/>
          <w:b/>
          <w:i/>
          <w:iCs/>
        </w:rPr>
        <w:t xml:space="preserve">minimum commission value of EUR </w:t>
      </w:r>
      <w:r w:rsidR="008876CF" w:rsidRPr="008876CF">
        <w:rPr>
          <w:b/>
          <w:bCs/>
          <w:i/>
          <w:iCs/>
        </w:rPr>
        <w:t>45000</w:t>
      </w:r>
      <w:r w:rsidR="007F6BDF">
        <w:rPr>
          <w:b/>
          <w:bCs/>
          <w:i/>
          <w:iCs/>
        </w:rPr>
        <w:t xml:space="preserve"> (net)</w:t>
      </w:r>
      <w:r w:rsidRPr="003B6278">
        <w:rPr>
          <w:rFonts w:cs="Arial"/>
          <w:bCs/>
          <w:i/>
          <w:iCs/>
        </w:rPr>
        <w:t xml:space="preserve"> (</w:t>
      </w:r>
      <w:r w:rsidRPr="00BD66B9">
        <w:rPr>
          <w:rFonts w:cs="Arial"/>
          <w:bCs/>
          <w:i/>
          <w:iCs/>
        </w:rPr>
        <w:t>exclusion criterion)</w:t>
      </w:r>
      <w:r>
        <w:rPr>
          <w:rFonts w:cs="Arial"/>
          <w:bCs/>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3E00E943"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w:t>
      </w:r>
      <w:r w:rsidR="00CE144E">
        <w:rPr>
          <w:rFonts w:asciiTheme="majorHAnsi" w:hAnsiTheme="majorHAnsi" w:cstheme="majorHAnsi"/>
          <w:b/>
          <w:bCs/>
          <w:i/>
          <w:color w:val="000000" w:themeColor="text1"/>
        </w:rPr>
        <w:t>n.</w:t>
      </w:r>
      <w:r w:rsidR="00364791" w:rsidRPr="000777F7">
        <w:rPr>
          <w:rFonts w:asciiTheme="majorHAnsi" w:hAnsiTheme="majorHAnsi" w:cstheme="majorHAnsi"/>
          <w:i/>
          <w:color w:val="000000" w:themeColor="text1"/>
        </w:rPr>
        <w:t xml:space="preserve"> </w:t>
      </w:r>
    </w:p>
    <w:p w14:paraId="2337DE37" w14:textId="014E939E"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minimum commission value in the amount of EUR</w:t>
      </w:r>
      <w:r w:rsidR="001441FA" w:rsidRPr="000777F7">
        <w:rPr>
          <w:rFonts w:asciiTheme="majorHAnsi" w:hAnsiTheme="majorHAnsi" w:cstheme="majorHAnsi"/>
          <w:b/>
          <w:bCs/>
          <w:i/>
          <w:color w:val="000000" w:themeColor="text1"/>
        </w:rPr>
        <w:t> </w:t>
      </w:r>
      <w:r w:rsidR="008876CF" w:rsidRPr="008876CF">
        <w:rPr>
          <w:rFonts w:cs="Arial"/>
          <w:b/>
          <w:bCs/>
          <w:lang w:eastAsia="de-DE" w:bidi="ar-SA"/>
        </w:rPr>
        <w:t>45000</w:t>
      </w:r>
      <w:r w:rsidR="007F6BDF">
        <w:rPr>
          <w:rFonts w:cs="Arial"/>
          <w:b/>
          <w:bCs/>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9B15" w14:textId="77777777" w:rsidR="00C1581D" w:rsidRDefault="00C1581D" w:rsidP="00A637D0">
      <w:r>
        <w:separator/>
      </w:r>
    </w:p>
  </w:endnote>
  <w:endnote w:type="continuationSeparator" w:id="0">
    <w:p w14:paraId="1A37A2C0" w14:textId="77777777" w:rsidR="00C1581D" w:rsidRDefault="00C1581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D892" w14:textId="77777777" w:rsidR="00C1581D" w:rsidRDefault="00C1581D" w:rsidP="00A637D0">
      <w:r>
        <w:separator/>
      </w:r>
    </w:p>
  </w:footnote>
  <w:footnote w:type="continuationSeparator" w:id="0">
    <w:p w14:paraId="5249E206" w14:textId="77777777" w:rsidR="00C1581D" w:rsidRDefault="00C1581D"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1" w:displacedByCustomXml="next"/>
        <w:bookmarkStart w:id="1" w:name="_Hlk75849840"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06260"/>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435ED"/>
    <w:rsid w:val="004511CA"/>
    <w:rsid w:val="00453650"/>
    <w:rsid w:val="00456E7D"/>
    <w:rsid w:val="0045739A"/>
    <w:rsid w:val="00463EC1"/>
    <w:rsid w:val="00466305"/>
    <w:rsid w:val="004666E2"/>
    <w:rsid w:val="00467A42"/>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6E2C"/>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484E"/>
    <w:rsid w:val="005E6F4A"/>
    <w:rsid w:val="005F412C"/>
    <w:rsid w:val="005F57E1"/>
    <w:rsid w:val="0060309B"/>
    <w:rsid w:val="00606041"/>
    <w:rsid w:val="00613B92"/>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BD"/>
    <w:rsid w:val="006C6D2D"/>
    <w:rsid w:val="006D29E4"/>
    <w:rsid w:val="006D380C"/>
    <w:rsid w:val="006E2E2F"/>
    <w:rsid w:val="006E5FA9"/>
    <w:rsid w:val="006F1F52"/>
    <w:rsid w:val="006F25E5"/>
    <w:rsid w:val="006F4BFA"/>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4493"/>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53D"/>
    <w:rsid w:val="008018D8"/>
    <w:rsid w:val="008025FD"/>
    <w:rsid w:val="00804F78"/>
    <w:rsid w:val="008071C6"/>
    <w:rsid w:val="008200C1"/>
    <w:rsid w:val="00822224"/>
    <w:rsid w:val="00824179"/>
    <w:rsid w:val="00824551"/>
    <w:rsid w:val="00837AAC"/>
    <w:rsid w:val="00840C61"/>
    <w:rsid w:val="00843015"/>
    <w:rsid w:val="00847575"/>
    <w:rsid w:val="00847C74"/>
    <w:rsid w:val="00847F0B"/>
    <w:rsid w:val="008544BC"/>
    <w:rsid w:val="00854CBE"/>
    <w:rsid w:val="00854FC7"/>
    <w:rsid w:val="008564C5"/>
    <w:rsid w:val="00856CFA"/>
    <w:rsid w:val="0086774C"/>
    <w:rsid w:val="0087280B"/>
    <w:rsid w:val="008761AD"/>
    <w:rsid w:val="00880B21"/>
    <w:rsid w:val="00882D2F"/>
    <w:rsid w:val="008876C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F09F8"/>
    <w:rsid w:val="009239DC"/>
    <w:rsid w:val="00925D36"/>
    <w:rsid w:val="00943FD9"/>
    <w:rsid w:val="00950984"/>
    <w:rsid w:val="00951094"/>
    <w:rsid w:val="00951918"/>
    <w:rsid w:val="00955C90"/>
    <w:rsid w:val="00957D5A"/>
    <w:rsid w:val="00961746"/>
    <w:rsid w:val="00964A05"/>
    <w:rsid w:val="00965129"/>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244A"/>
    <w:rsid w:val="00AD7EB8"/>
    <w:rsid w:val="00AE0365"/>
    <w:rsid w:val="00AE0EE1"/>
    <w:rsid w:val="00AE6941"/>
    <w:rsid w:val="00AF15D8"/>
    <w:rsid w:val="00AF49D2"/>
    <w:rsid w:val="00AF5780"/>
    <w:rsid w:val="00B03AC9"/>
    <w:rsid w:val="00B065AF"/>
    <w:rsid w:val="00B13A12"/>
    <w:rsid w:val="00B225AF"/>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144E"/>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752EF"/>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285502229">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20366E"/>
    <w:rsid w:val="0038255E"/>
    <w:rsid w:val="004E2A8E"/>
    <w:rsid w:val="00606041"/>
    <w:rsid w:val="006D380C"/>
    <w:rsid w:val="006D70EC"/>
    <w:rsid w:val="007A4493"/>
    <w:rsid w:val="007B1ABE"/>
    <w:rsid w:val="008200C1"/>
    <w:rsid w:val="00833BD4"/>
    <w:rsid w:val="009A0E7A"/>
    <w:rsid w:val="00BB0A21"/>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2097</Words>
  <Characters>13213</Characters>
  <Application>Microsoft Office Word</Application>
  <DocSecurity>0</DocSecurity>
  <Lines>110</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12/2025</vt:lpstr>
      <vt:lpstr>Eignungsnachweis und Teilnahmeantrag im Teilnahmewettbewerb en, Stand: Dezember 2018</vt:lpstr>
    </vt:vector>
  </TitlesOfParts>
  <Company>GIZ GmbH</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Uysal, Zuhal GIZ</cp:lastModifiedBy>
  <cp:revision>13</cp:revision>
  <cp:lastPrinted>2020-06-12T14:09:00Z</cp:lastPrinted>
  <dcterms:created xsi:type="dcterms:W3CDTF">2025-12-19T14:54:00Z</dcterms:created>
  <dcterms:modified xsi:type="dcterms:W3CDTF">2026-02-03T13:46:00Z</dcterms:modified>
</cp:coreProperties>
</file>